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A4" w:rsidRDefault="00224CA4" w:rsidP="00224CA4">
      <w:pPr>
        <w:pStyle w:val="Nadpis3"/>
      </w:pPr>
      <w:r>
        <w:t>Sahasrára - temenní čakra</w:t>
      </w:r>
    </w:p>
    <w:p w:rsidR="00224CA4" w:rsidRPr="00AC3C08" w:rsidRDefault="00224CA4" w:rsidP="00224CA4">
      <w:pPr>
        <w:pStyle w:val="Nadpis2"/>
      </w:pPr>
      <w:r>
        <w:t>Vzhled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Temenní čakra je nejvýše položenou čakrou lidského těla a jako jediná má svůj kalich obrácený vzhůru.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růměr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má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asi 12 cm; v centru pulzují jemně fialově energie vytvářejí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cí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972 paprsků. Souvisí s činností hypofýzy a šišinky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stonek má zakotvený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právě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 této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oblasti mozku.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Zatímco čakry nohou a první čakra nás uzemňují a jsou negativně nabité, čakry čelní a temenní nás spojují s kosmem. Sahasrára je kladně nabitá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. J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e v neustálém spojení s děním kosmu. Ale má ještě druhou funkci: skrze ni dochází ke spojení fyzického těla s našimi dalšími jemnohmotnými těly (pouze u malého procenta tomu slouží čakra srdeční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nebo čelní).</w:t>
      </w:r>
    </w:p>
    <w:p w:rsidR="00224CA4" w:rsidRPr="00103657" w:rsidRDefault="00224CA4" w:rsidP="00224CA4">
      <w:pPr>
        <w:pStyle w:val="Nadpis2"/>
      </w:pPr>
      <w:r w:rsidRPr="00103657">
        <w:t>Funkce</w:t>
      </w:r>
      <w:r>
        <w:t xml:space="preserve"> a vývoj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U běžného člověka temenní čakra </w:t>
      </w:r>
      <w:r w:rsidRPr="006C4CB8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>přijímá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vede kosmické životní energie a nejjemnější božské fluidum do tzv. elektrického pole těla. 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ab/>
        <w:t>U vyspělejších jedinců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, u nichž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začne probouzet síla </w:t>
      </w:r>
      <w:r w:rsidRPr="0063386B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>Kundalíni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postupně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stoupat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přes čelní čakru do temenní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dojde ke  </w:t>
      </w:r>
      <w:r w:rsidRPr="0063386B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spojení </w:t>
      </w:r>
      <w:r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této energie </w:t>
      </w:r>
      <w:r w:rsidRPr="0063386B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>s kosmickými energiemi temenní ča</w:t>
      </w:r>
      <w:r w:rsidRPr="0063386B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softHyphen/>
        <w:t>kry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Dotyčný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pak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zač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vnímat astrální a vyšší světy,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jejich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bytosti a zachycuje jejich sdělení. </w:t>
      </w:r>
    </w:p>
    <w:p w:rsidR="00224CA4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Pozemský člověk má tělo fyzické, éterické, astrální a mentální; </w:t>
      </w:r>
      <w:r w:rsidRPr="00B40F80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>tělo kauzální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zatím není schopný využívat.</w:t>
      </w:r>
      <w:r>
        <w:t xml:space="preserve">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Teprve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plným rozvojem tohoto těla bude aktivita temenní čakry plně probuzena a on začne ve spolupráci se zářící Boží jiskrou </w:t>
      </w:r>
      <w:r w:rsidRPr="0063386B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>aktivně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C4CB8">
        <w:rPr>
          <w:rStyle w:val="uficommentbody"/>
          <w:rFonts w:asciiTheme="minorHAnsi" w:eastAsiaTheme="minorHAnsi" w:hAnsiTheme="minorHAnsi" w:cstheme="minorBidi"/>
          <w:b/>
          <w:sz w:val="22"/>
          <w:szCs w:val="22"/>
          <w:lang w:eastAsia="en-US"/>
        </w:rPr>
        <w:t>vysílat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 středu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této čakry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božské energie. 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Živým příkladem toho byl Ježíš Nazaretský. Jeho osobní energetické pole bylo spojeno se všemi poli univerza. Vyzařoval všude, kde se objevil lásku, krásu, harmonii, léčivé energie a ve formě zářící korony, glorioly duchovní světlo. Plně vyvinutá temenní čakr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a je zobrazována na obrazech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jako svatozář či hořící plameny. Obraz je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většinou výrazem umělecké představivosti, protože absolutního stavu, který symbolizuje, nelze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u karmického zrozence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Zemi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zcela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dosáhnout. 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Bytost s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 vysílající 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temenní čakrou, tehdy jí říkáme čakra Kristova vědomí, má vládu nad hmotou – dokáže materializovat a dematerializovat vlastní tělo a není tedy omezena prostorem a hmotou. 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Úplným rozvojem temenní čakry dosahuje člověk vrcholu možností pozemského duchovního vývoje. Zákonitost pozemské polarity ztrácí nad </w:t>
      </w:r>
      <w:r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ním</w:t>
      </w: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moc, pozemská pouta se rozpadávají a on se stává světlem.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Co říci závěrem? Má-li člověk v duši světlo, vyzařuje z něj krása.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Vyzařuje-li z člověka krása, vládne v jeho domě harmonie.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Vládne-li v jeho domě harmonie, panuje řád v národě.</w:t>
      </w:r>
    </w:p>
    <w:p w:rsidR="00224CA4" w:rsidRPr="006C4CB8" w:rsidRDefault="00224CA4" w:rsidP="00224CA4">
      <w:pPr>
        <w:spacing w:after="160" w:line="259" w:lineRule="auto"/>
        <w:rPr>
          <w:rStyle w:val="uficommentbody"/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Panuje-li řád v národě, je mír na celém světě.</w:t>
      </w:r>
    </w:p>
    <w:p w:rsidR="00EB3C9A" w:rsidRPr="00224CA4" w:rsidRDefault="00224CA4" w:rsidP="00224CA4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6C4CB8">
        <w:rPr>
          <w:rStyle w:val="uficommentbody"/>
          <w:rFonts w:asciiTheme="minorHAnsi" w:eastAsiaTheme="minorHAnsi" w:hAnsiTheme="minorHAnsi" w:cstheme="minorBidi"/>
          <w:sz w:val="22"/>
          <w:szCs w:val="22"/>
          <w:lang w:eastAsia="en-US"/>
        </w:rPr>
        <w:t>čínské přísloví</w:t>
      </w:r>
      <w:bookmarkStart w:id="0" w:name="_GoBack"/>
      <w:bookmarkEnd w:id="0"/>
    </w:p>
    <w:sectPr w:rsidR="00EB3C9A" w:rsidRPr="002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C02"/>
    <w:multiLevelType w:val="hybridMultilevel"/>
    <w:tmpl w:val="94FE4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1CE6"/>
    <w:multiLevelType w:val="hybridMultilevel"/>
    <w:tmpl w:val="41A01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5"/>
    <w:rsid w:val="00224CA4"/>
    <w:rsid w:val="003215A0"/>
    <w:rsid w:val="005053C5"/>
    <w:rsid w:val="00A166F5"/>
    <w:rsid w:val="00B37BCF"/>
    <w:rsid w:val="00B47987"/>
    <w:rsid w:val="00B61EE2"/>
    <w:rsid w:val="00CF3338"/>
    <w:rsid w:val="00EB3C9A"/>
    <w:rsid w:val="00E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F033-12D3-4022-AE50-88452912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15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5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D2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798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A166F5"/>
  </w:style>
  <w:style w:type="character" w:customStyle="1" w:styleId="Nadpis1Char">
    <w:name w:val="Nadpis 1 Char"/>
    <w:basedOn w:val="Standardnpsmoodstavce"/>
    <w:link w:val="Nadpis1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479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B47987"/>
    <w:rPr>
      <w:b/>
      <w:bCs/>
    </w:rPr>
  </w:style>
  <w:style w:type="character" w:customStyle="1" w:styleId="Nadpis3Char">
    <w:name w:val="Nadpis 3 Char"/>
    <w:basedOn w:val="Standardnpsmoodstavce"/>
    <w:link w:val="Nadpis3"/>
    <w:qFormat/>
    <w:rsid w:val="00ED2F4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uficommentbody">
    <w:name w:val="uficommentbody"/>
    <w:basedOn w:val="Standardnpsmoodstavce"/>
    <w:rsid w:val="00224CA4"/>
  </w:style>
  <w:style w:type="character" w:styleId="Hypertextovodkaz">
    <w:name w:val="Hyperlink"/>
    <w:basedOn w:val="Standardnpsmoodstavce"/>
    <w:uiPriority w:val="99"/>
    <w:semiHidden/>
    <w:unhideWhenUsed/>
    <w:rsid w:val="0022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2018-04-24T10:04:00Z</dcterms:created>
  <dcterms:modified xsi:type="dcterms:W3CDTF">2018-09-19T11:58:00Z</dcterms:modified>
</cp:coreProperties>
</file>